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E90D8" w14:textId="77777777" w:rsidR="003D441C" w:rsidRDefault="00274DAA" w:rsidP="00274DA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Fotosynthese</w:t>
      </w:r>
      <w:r w:rsidR="00503443">
        <w:rPr>
          <w:rFonts w:ascii="Arial" w:hAnsi="Arial" w:cs="Arial"/>
          <w:b/>
          <w:sz w:val="28"/>
          <w:szCs w:val="28"/>
          <w:u w:val="single"/>
        </w:rPr>
        <w:t>-Experimente</w:t>
      </w:r>
    </w:p>
    <w:p w14:paraId="4D579079" w14:textId="77777777" w:rsidR="00274DAA" w:rsidRDefault="007002AB" w:rsidP="00274DAA">
      <w:pPr>
        <w:jc w:val="center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  <w:u w:val="single"/>
        </w:rPr>
        <w:t>Sauerstoffnachweis mit Indigocarmin</w:t>
      </w:r>
      <w:r w:rsidR="00274DAA">
        <w:rPr>
          <w:rFonts w:ascii="Arial" w:hAnsi="Arial" w:cs="Arial"/>
          <w:b/>
          <w:sz w:val="24"/>
          <w:szCs w:val="28"/>
          <w:u w:val="single"/>
        </w:rPr>
        <w:t xml:space="preserve"> </w:t>
      </w:r>
      <w:r w:rsidR="00274DAA">
        <w:rPr>
          <w:rStyle w:val="Funotenzeichen"/>
          <w:rFonts w:ascii="Arial" w:hAnsi="Arial" w:cs="Arial"/>
          <w:b/>
          <w:sz w:val="24"/>
          <w:szCs w:val="28"/>
          <w:u w:val="single"/>
        </w:rPr>
        <w:footnoteReference w:id="1"/>
      </w:r>
    </w:p>
    <w:p w14:paraId="334E6247" w14:textId="6BB6D6EE" w:rsidR="00274DAA" w:rsidRPr="00274DAA" w:rsidRDefault="002C114A" w:rsidP="00274DAA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 wp14:anchorId="69FB871B" wp14:editId="6E87D302">
            <wp:simplePos x="0" y="0"/>
            <wp:positionH relativeFrom="column">
              <wp:posOffset>3848100</wp:posOffset>
            </wp:positionH>
            <wp:positionV relativeFrom="paragraph">
              <wp:posOffset>22225</wp:posOffset>
            </wp:positionV>
            <wp:extent cx="1874520" cy="2598420"/>
            <wp:effectExtent l="19050" t="19050" r="11430" b="11430"/>
            <wp:wrapSquare wrapText="bothSides"/>
            <wp:docPr id="6" name="Bild 6" descr="Indigocarmin_ox_red (A Schunk) 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digocarmin_ox_red (A Schunk) Ausschnit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5984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DAA" w:rsidRPr="00274DAA">
        <w:rPr>
          <w:rFonts w:ascii="Arial" w:hAnsi="Arial" w:cs="Arial"/>
          <w:b/>
          <w:szCs w:val="28"/>
        </w:rPr>
        <w:t>Einleitung:</w:t>
      </w:r>
    </w:p>
    <w:p w14:paraId="611CFBFB" w14:textId="77777777" w:rsidR="00274DAA" w:rsidRDefault="0091117D" w:rsidP="00274DAA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Mit dem folgenden Versuch kann die Sauerstoffproduktion sowohl qualitativ als auch halbquantitativ </w:t>
      </w:r>
      <w:r w:rsidR="003D0096">
        <w:rPr>
          <w:rFonts w:ascii="Arial" w:hAnsi="Arial" w:cs="Arial"/>
          <w:szCs w:val="28"/>
        </w:rPr>
        <w:t xml:space="preserve">unter unterschiedlichen Bedingungen (z.B. Lichtintensität, Temperatur) </w:t>
      </w:r>
      <w:r>
        <w:rPr>
          <w:rFonts w:ascii="Arial" w:hAnsi="Arial" w:cs="Arial"/>
          <w:szCs w:val="28"/>
        </w:rPr>
        <w:t xml:space="preserve">erfasst werden. </w:t>
      </w:r>
      <w:r w:rsidR="00472605">
        <w:rPr>
          <w:rFonts w:ascii="Arial" w:hAnsi="Arial" w:cs="Arial"/>
          <w:szCs w:val="28"/>
        </w:rPr>
        <w:t>Als Indikator wird Indigocarmin verwendet (Abb. 1), das im reduzierten Zustand gelb, im oxidierten blau ist.</w:t>
      </w:r>
    </w:p>
    <w:p w14:paraId="2FFBC33F" w14:textId="77777777" w:rsidR="00472605" w:rsidRDefault="00472605" w:rsidP="00472605">
      <w:pPr>
        <w:keepNext/>
        <w:spacing w:after="0" w:line="240" w:lineRule="auto"/>
      </w:pPr>
    </w:p>
    <w:p w14:paraId="687E136A" w14:textId="77777777" w:rsidR="00274DAA" w:rsidRDefault="00274DAA" w:rsidP="00274DAA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Versuchsdauer:</w:t>
      </w:r>
    </w:p>
    <w:p w14:paraId="47BBA6F1" w14:textId="77777777" w:rsidR="00274DAA" w:rsidRPr="00472605" w:rsidRDefault="003D0096" w:rsidP="00472605">
      <w:pPr>
        <w:spacing w:after="0" w:line="240" w:lineRule="auto"/>
        <w:rPr>
          <w:rFonts w:ascii="Arial" w:hAnsi="Arial" w:cs="Arial"/>
          <w:szCs w:val="28"/>
        </w:rPr>
      </w:pPr>
      <w:r w:rsidRPr="00472605">
        <w:rPr>
          <w:rFonts w:ascii="Arial" w:hAnsi="Arial" w:cs="Arial"/>
          <w:szCs w:val="28"/>
        </w:rPr>
        <w:t>Vorbereitung</w:t>
      </w:r>
      <w:r w:rsidR="00274DAA" w:rsidRPr="00472605">
        <w:rPr>
          <w:rFonts w:ascii="Arial" w:hAnsi="Arial" w:cs="Arial"/>
          <w:szCs w:val="28"/>
        </w:rPr>
        <w:t xml:space="preserve"> ca. </w:t>
      </w:r>
      <w:r w:rsidRPr="00472605">
        <w:rPr>
          <w:rFonts w:ascii="Arial" w:hAnsi="Arial" w:cs="Arial"/>
          <w:szCs w:val="28"/>
        </w:rPr>
        <w:t>3</w:t>
      </w:r>
      <w:r w:rsidR="00274DAA" w:rsidRPr="00472605">
        <w:rPr>
          <w:rFonts w:ascii="Arial" w:hAnsi="Arial" w:cs="Arial"/>
          <w:szCs w:val="28"/>
        </w:rPr>
        <w:t>0 min</w:t>
      </w:r>
      <w:r w:rsidR="00472605" w:rsidRPr="00472605">
        <w:rPr>
          <w:rFonts w:ascii="Arial" w:hAnsi="Arial" w:cs="Arial"/>
          <w:szCs w:val="28"/>
        </w:rPr>
        <w:t xml:space="preserve">; </w:t>
      </w:r>
      <w:r w:rsidRPr="00472605">
        <w:rPr>
          <w:rFonts w:ascii="Arial" w:hAnsi="Arial" w:cs="Arial"/>
          <w:szCs w:val="28"/>
        </w:rPr>
        <w:t>Durchführung ca. 40 min</w:t>
      </w:r>
    </w:p>
    <w:p w14:paraId="050058CD" w14:textId="77777777" w:rsidR="00274DAA" w:rsidRDefault="00274DAA" w:rsidP="00274DAA">
      <w:pPr>
        <w:spacing w:after="0" w:line="240" w:lineRule="auto"/>
        <w:rPr>
          <w:rFonts w:ascii="Arial" w:hAnsi="Arial" w:cs="Arial"/>
          <w:szCs w:val="28"/>
        </w:rPr>
      </w:pPr>
    </w:p>
    <w:p w14:paraId="795B5D80" w14:textId="77777777" w:rsidR="00274DAA" w:rsidRDefault="000A4CA7" w:rsidP="000A4CA7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Versuchsm</w:t>
      </w:r>
      <w:r w:rsidR="00274DAA">
        <w:rPr>
          <w:rFonts w:ascii="Arial" w:hAnsi="Arial" w:cs="Arial"/>
          <w:b/>
          <w:szCs w:val="28"/>
        </w:rPr>
        <w:t>aterial:</w:t>
      </w:r>
    </w:p>
    <w:p w14:paraId="411EFE12" w14:textId="77777777" w:rsidR="000A4CA7" w:rsidRPr="003B6534" w:rsidRDefault="003D0096" w:rsidP="00274DAA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Frische, etwa gleich lange Sprosse der Wasserpest </w:t>
      </w:r>
      <w:r w:rsidR="00472605">
        <w:rPr>
          <w:rFonts w:ascii="Arial" w:hAnsi="Arial" w:cs="Arial"/>
          <w:szCs w:val="28"/>
        </w:rPr>
        <w:t xml:space="preserve">  </w:t>
      </w:r>
      <w:r w:rsidRPr="003D0096">
        <w:rPr>
          <w:rFonts w:ascii="Arial" w:hAnsi="Arial" w:cs="Arial"/>
          <w:i/>
          <w:szCs w:val="28"/>
        </w:rPr>
        <w:t>(Elodea sp.)</w:t>
      </w:r>
    </w:p>
    <w:p w14:paraId="5D05DB11" w14:textId="77777777" w:rsidR="000A4CA7" w:rsidRDefault="000A4CA7" w:rsidP="00274DAA">
      <w:pPr>
        <w:spacing w:after="0" w:line="240" w:lineRule="auto"/>
        <w:rPr>
          <w:rFonts w:ascii="Arial" w:hAnsi="Arial" w:cs="Arial"/>
          <w:szCs w:val="28"/>
        </w:rPr>
      </w:pPr>
    </w:p>
    <w:p w14:paraId="44B215E9" w14:textId="77777777" w:rsidR="00472605" w:rsidRDefault="00472605" w:rsidP="00472605">
      <w:pPr>
        <w:pStyle w:val="Beschriftung"/>
        <w:jc w:val="right"/>
        <w:rPr>
          <w:rFonts w:ascii="Arial" w:hAnsi="Arial" w:cs="Arial"/>
          <w:szCs w:val="28"/>
        </w:rPr>
      </w:pPr>
      <w:r>
        <w:t xml:space="preserve">Abbildung </w:t>
      </w:r>
      <w:r w:rsidR="001A6A2E">
        <w:fldChar w:fldCharType="begin"/>
      </w:r>
      <w:r w:rsidR="001A6A2E">
        <w:instrText xml:space="preserve"> SEQ Abbildung \* ARABIC </w:instrText>
      </w:r>
      <w:r w:rsidR="001A6A2E">
        <w:fldChar w:fldCharType="separate"/>
      </w:r>
      <w:r>
        <w:rPr>
          <w:noProof/>
        </w:rPr>
        <w:t>1</w:t>
      </w:r>
      <w:r w:rsidR="001A6A2E">
        <w:rPr>
          <w:noProof/>
        </w:rPr>
        <w:fldChar w:fldCharType="end"/>
      </w:r>
      <w:r>
        <w:t xml:space="preserve">: Strukturformeln des Redoxindikators </w:t>
      </w:r>
      <w:r>
        <w:rPr>
          <w:rStyle w:val="Funotenzeichen"/>
        </w:rPr>
        <w:footnoteReference w:id="2"/>
      </w:r>
    </w:p>
    <w:p w14:paraId="7EFF5359" w14:textId="77777777" w:rsidR="000A4CA7" w:rsidRPr="000A4CA7" w:rsidRDefault="000A4CA7" w:rsidP="000A4CA7">
      <w:pPr>
        <w:spacing w:after="120" w:line="240" w:lineRule="auto"/>
        <w:rPr>
          <w:rFonts w:ascii="Arial" w:hAnsi="Arial" w:cs="Arial"/>
          <w:b/>
          <w:szCs w:val="28"/>
        </w:rPr>
      </w:pPr>
      <w:r w:rsidRPr="000A4CA7">
        <w:rPr>
          <w:rFonts w:ascii="Arial" w:hAnsi="Arial" w:cs="Arial"/>
          <w:b/>
          <w:szCs w:val="28"/>
        </w:rPr>
        <w:t>Geräte:</w:t>
      </w:r>
    </w:p>
    <w:p w14:paraId="242D7705" w14:textId="77777777" w:rsidR="000A4CA7" w:rsidRDefault="000A4CA7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6 </w:t>
      </w:r>
      <w:r w:rsidR="003D0096">
        <w:rPr>
          <w:rFonts w:ascii="Arial" w:hAnsi="Arial" w:cs="Arial"/>
          <w:szCs w:val="28"/>
        </w:rPr>
        <w:t>Reagenzgläser (RG) mit Ständer</w:t>
      </w:r>
    </w:p>
    <w:p w14:paraId="7F3BADB0" w14:textId="77777777" w:rsidR="003D0096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 Drahtstücke, z.B. von Büroklammern</w:t>
      </w:r>
    </w:p>
    <w:p w14:paraId="2F8345F4" w14:textId="77777777" w:rsidR="000A4CA7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2 </w:t>
      </w:r>
      <w:r w:rsidR="004977F3">
        <w:rPr>
          <w:rFonts w:ascii="Arial" w:hAnsi="Arial" w:cs="Arial"/>
          <w:szCs w:val="28"/>
        </w:rPr>
        <w:t>100 mL-</w:t>
      </w:r>
      <w:r>
        <w:rPr>
          <w:rFonts w:ascii="Arial" w:hAnsi="Arial" w:cs="Arial"/>
          <w:szCs w:val="28"/>
        </w:rPr>
        <w:t>Weithalserlenmeyerkolben (EMK)</w:t>
      </w:r>
    </w:p>
    <w:p w14:paraId="5A1F75A2" w14:textId="77777777" w:rsidR="003D0096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3 Bechergläser (1000 mL, 500 mL und 100 mL)</w:t>
      </w:r>
    </w:p>
    <w:p w14:paraId="03F0B972" w14:textId="77777777" w:rsidR="000A4CA7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Analysenwaage und Wägeschälchen</w:t>
      </w:r>
    </w:p>
    <w:p w14:paraId="45070BFA" w14:textId="77777777" w:rsidR="000A4CA7" w:rsidRDefault="00EC3138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50 mL-</w:t>
      </w:r>
      <w:r w:rsidR="003D0096">
        <w:rPr>
          <w:rFonts w:ascii="Arial" w:hAnsi="Arial" w:cs="Arial"/>
          <w:szCs w:val="28"/>
        </w:rPr>
        <w:t>Bürette</w:t>
      </w:r>
      <w:r>
        <w:rPr>
          <w:rFonts w:ascii="Arial" w:hAnsi="Arial" w:cs="Arial"/>
          <w:szCs w:val="28"/>
        </w:rPr>
        <w:t xml:space="preserve"> mit Stativmaterial</w:t>
      </w:r>
    </w:p>
    <w:p w14:paraId="3A634D30" w14:textId="77777777" w:rsidR="000A4CA7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Magnetrührer</w:t>
      </w:r>
      <w:r w:rsidR="00EC3138">
        <w:rPr>
          <w:rFonts w:ascii="Arial" w:hAnsi="Arial" w:cs="Arial"/>
          <w:szCs w:val="28"/>
        </w:rPr>
        <w:t xml:space="preserve"> mit Rührfisch</w:t>
      </w:r>
    </w:p>
    <w:p w14:paraId="0E94FC56" w14:textId="77777777" w:rsidR="000A4CA7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Alufolie</w:t>
      </w:r>
    </w:p>
    <w:p w14:paraId="04A1372D" w14:textId="77777777" w:rsidR="000A4CA7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 Thermometer</w:t>
      </w:r>
    </w:p>
    <w:p w14:paraId="37CE7B36" w14:textId="77777777" w:rsidR="000A4CA7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temperierbares Wasserbad, Styroporbehälter für Eis</w:t>
      </w:r>
    </w:p>
    <w:p w14:paraId="0759937F" w14:textId="77777777" w:rsidR="003D0096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Lichtquelle (hell, ca. 200 W, z.B. Diaprojektor)</w:t>
      </w:r>
    </w:p>
    <w:p w14:paraId="127C308D" w14:textId="77777777" w:rsidR="003D0096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Rasierklinge</w:t>
      </w:r>
    </w:p>
    <w:p w14:paraId="415F5AA7" w14:textId="77777777" w:rsidR="003D0096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Pinzette</w:t>
      </w:r>
    </w:p>
    <w:p w14:paraId="022592D0" w14:textId="77777777" w:rsidR="003D0096" w:rsidRDefault="003D0096" w:rsidP="000A4CA7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Strohhalm</w:t>
      </w:r>
    </w:p>
    <w:p w14:paraId="767DD661" w14:textId="77777777" w:rsidR="000A4CA7" w:rsidRDefault="000A4CA7" w:rsidP="000A4CA7">
      <w:pPr>
        <w:spacing w:after="0" w:line="240" w:lineRule="auto"/>
        <w:rPr>
          <w:rFonts w:ascii="Arial" w:hAnsi="Arial" w:cs="Arial"/>
          <w:szCs w:val="28"/>
        </w:rPr>
      </w:pPr>
    </w:p>
    <w:p w14:paraId="54963682" w14:textId="77777777" w:rsidR="000A4CA7" w:rsidRPr="000A4CA7" w:rsidRDefault="000A4CA7" w:rsidP="000A4CA7">
      <w:pPr>
        <w:spacing w:after="120" w:line="240" w:lineRule="auto"/>
        <w:rPr>
          <w:rFonts w:ascii="Arial" w:hAnsi="Arial" w:cs="Arial"/>
          <w:b/>
          <w:szCs w:val="28"/>
        </w:rPr>
      </w:pPr>
      <w:r w:rsidRPr="000A4CA7">
        <w:rPr>
          <w:rFonts w:ascii="Arial" w:hAnsi="Arial" w:cs="Arial"/>
          <w:b/>
          <w:szCs w:val="28"/>
        </w:rPr>
        <w:t>Chemikalien:</w:t>
      </w:r>
    </w:p>
    <w:p w14:paraId="21B5FFF5" w14:textId="77777777" w:rsidR="000A4CA7" w:rsidRDefault="00F46748" w:rsidP="003D0096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</w:t>
      </w:r>
      <w:r w:rsidR="00C805A3">
        <w:rPr>
          <w:rFonts w:ascii="Arial" w:hAnsi="Arial" w:cs="Arial"/>
          <w:szCs w:val="28"/>
        </w:rPr>
        <w:t xml:space="preserve">5 mg </w:t>
      </w:r>
      <w:r w:rsidR="003D0096">
        <w:rPr>
          <w:rFonts w:ascii="Arial" w:hAnsi="Arial" w:cs="Arial"/>
          <w:szCs w:val="28"/>
        </w:rPr>
        <w:t>Indigocarmin (Indigosulfonat-Dinatriumsalz</w:t>
      </w:r>
      <w:r w:rsidR="005C720A">
        <w:rPr>
          <w:rFonts w:ascii="Arial" w:hAnsi="Arial" w:cs="Arial"/>
          <w:szCs w:val="28"/>
        </w:rPr>
        <w:t>)</w:t>
      </w:r>
    </w:p>
    <w:p w14:paraId="5E290E9A" w14:textId="77777777" w:rsidR="003D0096" w:rsidRDefault="00C805A3" w:rsidP="003D0096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400 mg </w:t>
      </w:r>
      <w:r w:rsidR="003D0096">
        <w:rPr>
          <w:rFonts w:ascii="Arial" w:hAnsi="Arial" w:cs="Arial"/>
          <w:szCs w:val="28"/>
        </w:rPr>
        <w:t>Natriumdithionit, Na</w:t>
      </w:r>
      <w:r w:rsidR="003D0096" w:rsidRPr="003D0096">
        <w:rPr>
          <w:rFonts w:ascii="Arial" w:hAnsi="Arial" w:cs="Arial"/>
          <w:szCs w:val="28"/>
          <w:vertAlign w:val="subscript"/>
        </w:rPr>
        <w:t>2</w:t>
      </w:r>
      <w:r w:rsidR="003D0096">
        <w:rPr>
          <w:rFonts w:ascii="Arial" w:hAnsi="Arial" w:cs="Arial"/>
          <w:szCs w:val="28"/>
        </w:rPr>
        <w:t>S</w:t>
      </w:r>
      <w:r w:rsidR="003D0096" w:rsidRPr="003D0096">
        <w:rPr>
          <w:rFonts w:ascii="Arial" w:hAnsi="Arial" w:cs="Arial"/>
          <w:szCs w:val="28"/>
          <w:vertAlign w:val="subscript"/>
        </w:rPr>
        <w:t>2</w:t>
      </w:r>
      <w:r w:rsidR="003D0096">
        <w:rPr>
          <w:rFonts w:ascii="Arial" w:hAnsi="Arial" w:cs="Arial"/>
          <w:szCs w:val="28"/>
        </w:rPr>
        <w:t>O</w:t>
      </w:r>
      <w:r w:rsidR="003D0096" w:rsidRPr="003D0096">
        <w:rPr>
          <w:rFonts w:ascii="Arial" w:hAnsi="Arial" w:cs="Arial"/>
          <w:szCs w:val="28"/>
          <w:vertAlign w:val="subscript"/>
        </w:rPr>
        <w:t>4</w:t>
      </w:r>
    </w:p>
    <w:p w14:paraId="6822176A" w14:textId="77777777" w:rsidR="003D0096" w:rsidRDefault="00C805A3" w:rsidP="003D0096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ca. 5 mL </w:t>
      </w:r>
      <w:r w:rsidR="003D0096">
        <w:rPr>
          <w:rFonts w:ascii="Arial" w:hAnsi="Arial" w:cs="Arial"/>
          <w:szCs w:val="28"/>
        </w:rPr>
        <w:t>Paraffinöl</w:t>
      </w:r>
    </w:p>
    <w:p w14:paraId="7EE925CE" w14:textId="77777777" w:rsidR="003D0096" w:rsidRDefault="003D0096" w:rsidP="003D0096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Destilliertes bzw. demineralisiertes Wasser</w:t>
      </w:r>
      <w:r w:rsidR="00EC3138">
        <w:rPr>
          <w:rFonts w:ascii="Arial" w:hAnsi="Arial" w:cs="Arial"/>
          <w:szCs w:val="28"/>
        </w:rPr>
        <w:t xml:space="preserve"> (A. dest.)</w:t>
      </w:r>
    </w:p>
    <w:p w14:paraId="515C4A0B" w14:textId="77777777" w:rsidR="003D0096" w:rsidRDefault="003D0096" w:rsidP="003D0096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Eis</w:t>
      </w:r>
    </w:p>
    <w:p w14:paraId="5C916BB9" w14:textId="77777777" w:rsidR="003D0096" w:rsidRDefault="003D0096" w:rsidP="003D0096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Leitungswasser</w:t>
      </w:r>
    </w:p>
    <w:p w14:paraId="51DE8F58" w14:textId="77777777" w:rsidR="00F46748" w:rsidRDefault="00F46748" w:rsidP="00F46748">
      <w:pPr>
        <w:numPr>
          <w:ilvl w:val="0"/>
          <w:numId w:val="5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Versuchsvariante: Kalium- oder Natriumhydrogencarbonat-Lösung (c = 0,01 mol/L), KHCO</w:t>
      </w:r>
      <w:r>
        <w:rPr>
          <w:rFonts w:ascii="Arial" w:hAnsi="Arial" w:cs="Arial"/>
          <w:szCs w:val="28"/>
          <w:vertAlign w:val="subscript"/>
        </w:rPr>
        <w:t>3</w:t>
      </w:r>
      <w:r>
        <w:rPr>
          <w:rFonts w:ascii="Arial" w:hAnsi="Arial" w:cs="Arial"/>
          <w:szCs w:val="28"/>
        </w:rPr>
        <w:t>-Lsg.</w:t>
      </w:r>
    </w:p>
    <w:p w14:paraId="622DF577" w14:textId="77777777" w:rsidR="000A4CA7" w:rsidRDefault="000A4CA7" w:rsidP="000A4CA7">
      <w:pPr>
        <w:spacing w:after="0" w:line="240" w:lineRule="auto"/>
        <w:rPr>
          <w:rFonts w:ascii="Arial" w:hAnsi="Arial" w:cs="Arial"/>
          <w:szCs w:val="28"/>
        </w:rPr>
      </w:pPr>
    </w:p>
    <w:p w14:paraId="182EAF8C" w14:textId="77777777" w:rsidR="000A4CA7" w:rsidRDefault="000A4CA7" w:rsidP="000A4CA7">
      <w:pPr>
        <w:spacing w:after="120" w:line="240" w:lineRule="auto"/>
        <w:rPr>
          <w:rFonts w:ascii="Arial" w:hAnsi="Arial" w:cs="Arial"/>
          <w:b/>
          <w:szCs w:val="28"/>
        </w:rPr>
      </w:pPr>
      <w:r w:rsidRPr="000A4CA7">
        <w:rPr>
          <w:rFonts w:ascii="Arial" w:hAnsi="Arial" w:cs="Arial"/>
          <w:b/>
          <w:szCs w:val="28"/>
        </w:rPr>
        <w:t>Durchführung:</w:t>
      </w:r>
    </w:p>
    <w:p w14:paraId="5211551E" w14:textId="77777777" w:rsidR="00EC3138" w:rsidRPr="000A4CA7" w:rsidRDefault="00EC3138" w:rsidP="00EC3138">
      <w:pPr>
        <w:numPr>
          <w:ilvl w:val="0"/>
          <w:numId w:val="6"/>
        </w:num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lastRenderedPageBreak/>
        <w:t>Auswahl geeigneter Sprossstücke</w:t>
      </w:r>
    </w:p>
    <w:p w14:paraId="7DFB2FC5" w14:textId="77777777" w:rsidR="003E333A" w:rsidRDefault="00EC3138" w:rsidP="003B6534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Mit einer Rasierklinge mehrere Sprossstücke von ca. 6 cm Länge möglichst schräg abschneiden, mit Draht beschweren und in das große, mit Leitungswasser gefüllte Becherglas geben; Schnittstellen sollen nach oben zeigen.</w:t>
      </w:r>
    </w:p>
    <w:p w14:paraId="28648A89" w14:textId="77777777" w:rsidR="00EC3138" w:rsidRDefault="00EC3138" w:rsidP="003B6534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Mit Lichtquelle belichten und Gasblasenbildung beobachten. Sprossstücke mit ähnlich starker Bläschenbildung auswählen.</w:t>
      </w:r>
    </w:p>
    <w:p w14:paraId="342367E3" w14:textId="77777777" w:rsidR="00EC3138" w:rsidRDefault="00EC3138" w:rsidP="00EC3138">
      <w:pPr>
        <w:pStyle w:val="Listenabsatz"/>
        <w:spacing w:after="0" w:line="240" w:lineRule="auto"/>
        <w:rPr>
          <w:rFonts w:ascii="Arial" w:hAnsi="Arial" w:cs="Arial"/>
          <w:szCs w:val="28"/>
        </w:rPr>
      </w:pPr>
    </w:p>
    <w:p w14:paraId="4D553932" w14:textId="77777777" w:rsidR="00EC3138" w:rsidRDefault="00EC3138" w:rsidP="00EC3138">
      <w:pPr>
        <w:numPr>
          <w:ilvl w:val="0"/>
          <w:numId w:val="6"/>
        </w:num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Titration</w:t>
      </w:r>
      <w:r w:rsidR="00472605">
        <w:rPr>
          <w:rFonts w:ascii="Arial" w:hAnsi="Arial" w:cs="Arial"/>
          <w:b/>
          <w:szCs w:val="28"/>
        </w:rPr>
        <w:t xml:space="preserve"> des Redoxindikators bis nahe dem Umschlagspunkt</w:t>
      </w:r>
    </w:p>
    <w:p w14:paraId="598002D0" w14:textId="77777777" w:rsidR="00EC3138" w:rsidRDefault="00EC3138" w:rsidP="00EC3138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Im 500 mL-BG 25 mg Indigocarmin in 500 mL A. dest. lösen.</w:t>
      </w:r>
    </w:p>
    <w:p w14:paraId="1EF8C2A0" w14:textId="77777777" w:rsidR="00EC3138" w:rsidRDefault="00EC3138" w:rsidP="00EC3138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Im 100 mL-BG 400 mg Natriumdithionit in 40 mL A. dest. lösen.</w:t>
      </w:r>
    </w:p>
    <w:p w14:paraId="484F3E87" w14:textId="77777777" w:rsidR="00EC3138" w:rsidRDefault="00EC3138" w:rsidP="00EC3138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Natriumdithionit-Lösung in Bürette füllen. Indigocarmin-Lösung mit Rührfisch versehen und auf Magnetrührer darunter stellen.</w:t>
      </w:r>
    </w:p>
    <w:p w14:paraId="231EA90C" w14:textId="77777777" w:rsidR="00EC3138" w:rsidRDefault="00EC3138" w:rsidP="00EC3138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Titration der blauen Indigocarmin-Lösung</w:t>
      </w:r>
      <w:r w:rsidR="00C805A3">
        <w:rPr>
          <w:rFonts w:ascii="Arial" w:hAnsi="Arial" w:cs="Arial"/>
          <w:szCs w:val="28"/>
        </w:rPr>
        <w:t xml:space="preserve"> bis zum Farbumschlag nach gelb. Es sollen keine blauen Schlieren mehr auftreten. – Mit zwei bis vier Tropfen der Natriumdithionit-Lösung </w:t>
      </w:r>
      <w:r w:rsidR="00215D4B">
        <w:rPr>
          <w:rFonts w:ascii="Arial" w:hAnsi="Arial" w:cs="Arial"/>
          <w:szCs w:val="28"/>
        </w:rPr>
        <w:t>übertitrieren. Nicht zu viel, da ansonsten der Farbumschlag des Indikators zu lange dauert.</w:t>
      </w:r>
    </w:p>
    <w:p w14:paraId="6A47E954" w14:textId="77777777" w:rsidR="00C805A3" w:rsidRPr="00EC3138" w:rsidRDefault="00C805A3" w:rsidP="00C805A3">
      <w:pPr>
        <w:spacing w:after="0" w:line="240" w:lineRule="auto"/>
        <w:ind w:left="714"/>
        <w:rPr>
          <w:rFonts w:ascii="Arial" w:hAnsi="Arial" w:cs="Arial"/>
          <w:szCs w:val="28"/>
        </w:rPr>
      </w:pPr>
    </w:p>
    <w:p w14:paraId="63CF2FA7" w14:textId="77777777" w:rsidR="00EC3138" w:rsidRDefault="00C805A3" w:rsidP="00EC3138">
      <w:pPr>
        <w:numPr>
          <w:ilvl w:val="0"/>
          <w:numId w:val="6"/>
        </w:num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Vorbereitung der Versuchsansätze</w:t>
      </w:r>
    </w:p>
    <w:p w14:paraId="1E640857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5 RG (RG 1 – 5) mit gelb gefärbter Indigocarmin-Lösung füllen.</w:t>
      </w:r>
    </w:p>
    <w:p w14:paraId="7EA0AFF1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Indigocarmin-Lösung in den RGs durch mehrmaliges Hineinpusten von Atemluft über einen Strohhalm mit Kohlenstoffdioxid anreichern.</w:t>
      </w:r>
    </w:p>
    <w:p w14:paraId="758AB58C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Restliche Indigocarmin-Lösung im Wasserbad kochen, so dass das darin gelöste Kohlenstoffdioxid entfernt wird. – Sollte sich die Lösung beim Abkochen wieder blau färben, so wird tropfenweise so lange Natriumdithionit-Lösung zugesetzt, bis der Farbumschlag rückgängig wird.</w:t>
      </w:r>
    </w:p>
    <w:p w14:paraId="6563A595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Abkühlen der abgekochten Lösung auf RT im Eisbad.</w:t>
      </w:r>
    </w:p>
    <w:p w14:paraId="3AD42A5C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Sechstes RG (RG </w:t>
      </w:r>
      <w:r w:rsidR="004977F3">
        <w:rPr>
          <w:rFonts w:ascii="Arial" w:hAnsi="Arial" w:cs="Arial"/>
          <w:szCs w:val="28"/>
        </w:rPr>
        <w:t>3</w:t>
      </w:r>
      <w:r>
        <w:rPr>
          <w:rFonts w:ascii="Arial" w:hAnsi="Arial" w:cs="Arial"/>
          <w:szCs w:val="28"/>
        </w:rPr>
        <w:t>) mit der abgekochten Lösung befüllen.</w:t>
      </w:r>
    </w:p>
    <w:p w14:paraId="7869CE1B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1 mit Paraffinöl überschichten (= Kontrolle).</w:t>
      </w:r>
      <w:r w:rsidR="004977F3">
        <w:rPr>
          <w:rFonts w:ascii="Arial" w:hAnsi="Arial" w:cs="Arial"/>
          <w:szCs w:val="28"/>
        </w:rPr>
        <w:t xml:space="preserve"> Öl soll Diffusion von Luft-Sauerstoff in den Ansatz verhindern.</w:t>
      </w:r>
    </w:p>
    <w:p w14:paraId="0E14D4FA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 – 6 mit jeweils einem ausgewählten Sprossstück befüllen; Sprossstücke müssen untertauchen.</w:t>
      </w:r>
    </w:p>
    <w:p w14:paraId="503B3557" w14:textId="77777777" w:rsidR="00C805A3" w:rsidRDefault="00C805A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 – 6 mit Paraffinöl überschichten.</w:t>
      </w:r>
    </w:p>
    <w:p w14:paraId="0A7A1F21" w14:textId="77777777" w:rsidR="004977F3" w:rsidRDefault="004977F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 mit Alufolie umhüllen.</w:t>
      </w:r>
    </w:p>
    <w:p w14:paraId="0A08E446" w14:textId="77777777" w:rsidR="004977F3" w:rsidRDefault="004977F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5 in einen mit warmem Wasser befüllten EMK stellen; Temperatur sollte ca. 35°C betragen.</w:t>
      </w:r>
    </w:p>
    <w:p w14:paraId="1229F626" w14:textId="77777777" w:rsidR="004977F3" w:rsidRDefault="004977F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6 in einen mit kaltem Wasser befüllten EMK stellen; Temperatur sollte ca. 10</w:t>
      </w:r>
      <w:r w:rsidR="00215D4B">
        <w:rPr>
          <w:rFonts w:ascii="Arial" w:hAnsi="Arial" w:cs="Arial"/>
          <w:szCs w:val="28"/>
        </w:rPr>
        <w:t>°C b</w:t>
      </w:r>
      <w:r>
        <w:rPr>
          <w:rFonts w:ascii="Arial" w:hAnsi="Arial" w:cs="Arial"/>
          <w:szCs w:val="28"/>
        </w:rPr>
        <w:t>.</w:t>
      </w:r>
    </w:p>
    <w:p w14:paraId="6ED4C36E" w14:textId="77777777" w:rsidR="004977F3" w:rsidRDefault="004977F3" w:rsidP="00C805A3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Möglichst gleichmäßige Belichtung aller sechs Ansätze</w:t>
      </w:r>
      <w:r w:rsidR="00D01921">
        <w:rPr>
          <w:rFonts w:ascii="Arial" w:hAnsi="Arial" w:cs="Arial"/>
          <w:szCs w:val="28"/>
        </w:rPr>
        <w:t xml:space="preserve"> für etwa 20 min.</w:t>
      </w:r>
    </w:p>
    <w:p w14:paraId="735A3291" w14:textId="77777777" w:rsidR="004977F3" w:rsidRPr="00C805A3" w:rsidRDefault="004977F3" w:rsidP="004977F3">
      <w:pPr>
        <w:spacing w:after="0" w:line="240" w:lineRule="auto"/>
        <w:ind w:left="714"/>
        <w:rPr>
          <w:rFonts w:ascii="Arial" w:hAnsi="Arial" w:cs="Arial"/>
          <w:szCs w:val="28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175"/>
        <w:gridCol w:w="1176"/>
        <w:gridCol w:w="1175"/>
        <w:gridCol w:w="1176"/>
        <w:gridCol w:w="1175"/>
        <w:gridCol w:w="1176"/>
      </w:tblGrid>
      <w:tr w:rsidR="00C706CB" w:rsidRPr="00456C37" w14:paraId="44D8C7F0" w14:textId="77777777" w:rsidTr="004977F3">
        <w:tc>
          <w:tcPr>
            <w:tcW w:w="1527" w:type="dxa"/>
            <w:shd w:val="clear" w:color="auto" w:fill="auto"/>
          </w:tcPr>
          <w:p w14:paraId="6652DC2F" w14:textId="77777777" w:rsidR="003E333A" w:rsidRPr="00456C37" w:rsidRDefault="004977F3" w:rsidP="00456C37">
            <w:pPr>
              <w:spacing w:after="0" w:line="240" w:lineRule="auto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RG</w:t>
            </w:r>
          </w:p>
        </w:tc>
        <w:tc>
          <w:tcPr>
            <w:tcW w:w="1175" w:type="dxa"/>
            <w:shd w:val="clear" w:color="auto" w:fill="auto"/>
          </w:tcPr>
          <w:p w14:paraId="13D5EC7D" w14:textId="77777777" w:rsidR="003E333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</w:t>
            </w:r>
          </w:p>
        </w:tc>
        <w:tc>
          <w:tcPr>
            <w:tcW w:w="1176" w:type="dxa"/>
            <w:shd w:val="clear" w:color="auto" w:fill="auto"/>
          </w:tcPr>
          <w:p w14:paraId="10DE4317" w14:textId="77777777" w:rsidR="003E333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175" w:type="dxa"/>
            <w:shd w:val="clear" w:color="auto" w:fill="auto"/>
          </w:tcPr>
          <w:p w14:paraId="39C08E5D" w14:textId="77777777" w:rsidR="003E333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</w:t>
            </w:r>
          </w:p>
        </w:tc>
        <w:tc>
          <w:tcPr>
            <w:tcW w:w="1176" w:type="dxa"/>
            <w:shd w:val="clear" w:color="auto" w:fill="auto"/>
          </w:tcPr>
          <w:p w14:paraId="2B226ACA" w14:textId="77777777" w:rsidR="003E333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</w:t>
            </w:r>
          </w:p>
        </w:tc>
        <w:tc>
          <w:tcPr>
            <w:tcW w:w="1175" w:type="dxa"/>
            <w:shd w:val="clear" w:color="auto" w:fill="auto"/>
          </w:tcPr>
          <w:p w14:paraId="62679B87" w14:textId="77777777" w:rsidR="003E333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</w:t>
            </w:r>
          </w:p>
        </w:tc>
        <w:tc>
          <w:tcPr>
            <w:tcW w:w="1176" w:type="dxa"/>
            <w:shd w:val="clear" w:color="auto" w:fill="auto"/>
          </w:tcPr>
          <w:p w14:paraId="3BC66335" w14:textId="77777777" w:rsidR="003E333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</w:t>
            </w:r>
          </w:p>
        </w:tc>
      </w:tr>
      <w:tr w:rsidR="00C706CB" w:rsidRPr="00456C37" w14:paraId="6CC719BF" w14:textId="77777777" w:rsidTr="004977F3">
        <w:tc>
          <w:tcPr>
            <w:tcW w:w="1527" w:type="dxa"/>
            <w:shd w:val="clear" w:color="auto" w:fill="auto"/>
          </w:tcPr>
          <w:p w14:paraId="4B7B1A4E" w14:textId="77777777" w:rsidR="0029672A" w:rsidRPr="004977F3" w:rsidRDefault="004977F3" w:rsidP="00456C37">
            <w:pPr>
              <w:spacing w:after="0" w:line="240" w:lineRule="auto"/>
              <w:rPr>
                <w:rFonts w:ascii="Arial" w:hAnsi="Arial" w:cs="Arial"/>
                <w:i/>
                <w:szCs w:val="28"/>
              </w:rPr>
            </w:pPr>
            <w:r w:rsidRPr="004977F3">
              <w:rPr>
                <w:rFonts w:ascii="Arial" w:hAnsi="Arial" w:cs="Arial"/>
                <w:i/>
                <w:szCs w:val="28"/>
              </w:rPr>
              <w:t>Elodea</w:t>
            </w:r>
          </w:p>
        </w:tc>
        <w:tc>
          <w:tcPr>
            <w:tcW w:w="1175" w:type="dxa"/>
            <w:shd w:val="clear" w:color="auto" w:fill="auto"/>
          </w:tcPr>
          <w:p w14:paraId="4CACED30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14:paraId="211435E3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5" w:type="dxa"/>
            <w:shd w:val="clear" w:color="auto" w:fill="auto"/>
          </w:tcPr>
          <w:p w14:paraId="1F640B13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5C09A7ED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5" w:type="dxa"/>
            <w:shd w:val="clear" w:color="auto" w:fill="auto"/>
          </w:tcPr>
          <w:p w14:paraId="797C08A2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26643161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</w:tr>
      <w:tr w:rsidR="00C706CB" w:rsidRPr="00456C37" w14:paraId="2EB16140" w14:textId="77777777" w:rsidTr="004977F3">
        <w:tc>
          <w:tcPr>
            <w:tcW w:w="1527" w:type="dxa"/>
            <w:shd w:val="clear" w:color="auto" w:fill="auto"/>
          </w:tcPr>
          <w:p w14:paraId="2D33A77A" w14:textId="77777777" w:rsidR="0029672A" w:rsidRPr="00456C37" w:rsidRDefault="004977F3" w:rsidP="00456C37">
            <w:pPr>
              <w:spacing w:after="0" w:line="240" w:lineRule="auto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Licht</w:t>
            </w:r>
          </w:p>
        </w:tc>
        <w:tc>
          <w:tcPr>
            <w:tcW w:w="1175" w:type="dxa"/>
            <w:shd w:val="clear" w:color="auto" w:fill="auto"/>
          </w:tcPr>
          <w:p w14:paraId="31ACCD29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4D476F91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1175" w:type="dxa"/>
            <w:shd w:val="clear" w:color="auto" w:fill="auto"/>
          </w:tcPr>
          <w:p w14:paraId="488FE711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53A04566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5" w:type="dxa"/>
            <w:shd w:val="clear" w:color="auto" w:fill="auto"/>
          </w:tcPr>
          <w:p w14:paraId="46934C2C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1BDDFFF7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</w:tr>
      <w:tr w:rsidR="00C706CB" w:rsidRPr="00456C37" w14:paraId="293A98C1" w14:textId="77777777" w:rsidTr="004977F3">
        <w:tc>
          <w:tcPr>
            <w:tcW w:w="1527" w:type="dxa"/>
            <w:shd w:val="clear" w:color="auto" w:fill="auto"/>
          </w:tcPr>
          <w:p w14:paraId="65ECA8C4" w14:textId="77777777" w:rsidR="0029672A" w:rsidRPr="00456C37" w:rsidRDefault="0029672A" w:rsidP="00456C37">
            <w:pPr>
              <w:spacing w:after="0" w:line="240" w:lineRule="auto"/>
              <w:rPr>
                <w:rFonts w:ascii="Arial" w:hAnsi="Arial" w:cs="Arial"/>
                <w:szCs w:val="28"/>
              </w:rPr>
            </w:pPr>
            <w:r w:rsidRPr="00456C37">
              <w:rPr>
                <w:rFonts w:ascii="Arial" w:hAnsi="Arial" w:cs="Arial"/>
                <w:szCs w:val="28"/>
              </w:rPr>
              <w:t>CO</w:t>
            </w:r>
            <w:r w:rsidRPr="00456C37">
              <w:rPr>
                <w:rFonts w:ascii="Arial" w:hAnsi="Arial" w:cs="Arial"/>
                <w:szCs w:val="28"/>
                <w:vertAlign w:val="subscript"/>
              </w:rPr>
              <w:t>2</w:t>
            </w:r>
          </w:p>
        </w:tc>
        <w:tc>
          <w:tcPr>
            <w:tcW w:w="1175" w:type="dxa"/>
            <w:shd w:val="clear" w:color="auto" w:fill="auto"/>
          </w:tcPr>
          <w:p w14:paraId="43136336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59D1D9B2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5" w:type="dxa"/>
            <w:shd w:val="clear" w:color="auto" w:fill="auto"/>
          </w:tcPr>
          <w:p w14:paraId="62995BA7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14:paraId="305DF547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5" w:type="dxa"/>
            <w:shd w:val="clear" w:color="auto" w:fill="auto"/>
          </w:tcPr>
          <w:p w14:paraId="1F9775F1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  <w:tc>
          <w:tcPr>
            <w:tcW w:w="1176" w:type="dxa"/>
            <w:shd w:val="clear" w:color="auto" w:fill="auto"/>
          </w:tcPr>
          <w:p w14:paraId="10946D87" w14:textId="77777777" w:rsidR="0029672A" w:rsidRPr="00456C37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</w:t>
            </w:r>
          </w:p>
        </w:tc>
      </w:tr>
      <w:tr w:rsidR="00C706CB" w:rsidRPr="004977F3" w14:paraId="59E88C70" w14:textId="77777777" w:rsidTr="004977F3">
        <w:tc>
          <w:tcPr>
            <w:tcW w:w="1527" w:type="dxa"/>
            <w:shd w:val="clear" w:color="auto" w:fill="auto"/>
          </w:tcPr>
          <w:p w14:paraId="4802ED3E" w14:textId="77777777" w:rsidR="003E333A" w:rsidRPr="004977F3" w:rsidRDefault="004977F3" w:rsidP="00456C37">
            <w:pPr>
              <w:spacing w:after="0" w:line="240" w:lineRule="auto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Temperatur *</w:t>
            </w:r>
          </w:p>
        </w:tc>
        <w:tc>
          <w:tcPr>
            <w:tcW w:w="1175" w:type="dxa"/>
            <w:shd w:val="clear" w:color="auto" w:fill="auto"/>
          </w:tcPr>
          <w:p w14:paraId="33544827" w14:textId="77777777" w:rsidR="003E333A" w:rsidRPr="004977F3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RT</w:t>
            </w:r>
          </w:p>
        </w:tc>
        <w:tc>
          <w:tcPr>
            <w:tcW w:w="1176" w:type="dxa"/>
            <w:shd w:val="clear" w:color="auto" w:fill="auto"/>
          </w:tcPr>
          <w:p w14:paraId="4360D7D6" w14:textId="77777777" w:rsidR="003E333A" w:rsidRPr="004977F3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RT</w:t>
            </w:r>
          </w:p>
        </w:tc>
        <w:tc>
          <w:tcPr>
            <w:tcW w:w="1175" w:type="dxa"/>
            <w:shd w:val="clear" w:color="auto" w:fill="auto"/>
          </w:tcPr>
          <w:p w14:paraId="7544F425" w14:textId="77777777" w:rsidR="003E333A" w:rsidRPr="004977F3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RT</w:t>
            </w:r>
          </w:p>
        </w:tc>
        <w:tc>
          <w:tcPr>
            <w:tcW w:w="1176" w:type="dxa"/>
            <w:shd w:val="clear" w:color="auto" w:fill="auto"/>
          </w:tcPr>
          <w:p w14:paraId="7157339D" w14:textId="77777777" w:rsidR="003E333A" w:rsidRPr="004977F3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RT</w:t>
            </w:r>
          </w:p>
        </w:tc>
        <w:tc>
          <w:tcPr>
            <w:tcW w:w="1175" w:type="dxa"/>
            <w:shd w:val="clear" w:color="auto" w:fill="auto"/>
          </w:tcPr>
          <w:p w14:paraId="3963F7C2" w14:textId="77777777" w:rsidR="003E333A" w:rsidRPr="004977F3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35°C</w:t>
            </w:r>
          </w:p>
        </w:tc>
        <w:tc>
          <w:tcPr>
            <w:tcW w:w="1176" w:type="dxa"/>
            <w:shd w:val="clear" w:color="auto" w:fill="auto"/>
          </w:tcPr>
          <w:p w14:paraId="4B24B2B4" w14:textId="77777777" w:rsidR="003E333A" w:rsidRPr="004977F3" w:rsidRDefault="004977F3" w:rsidP="00456C3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10°C</w:t>
            </w:r>
          </w:p>
        </w:tc>
      </w:tr>
    </w:tbl>
    <w:p w14:paraId="496097DA" w14:textId="77777777" w:rsidR="003E333A" w:rsidRPr="00472605" w:rsidRDefault="003E333A" w:rsidP="003E333A">
      <w:pPr>
        <w:spacing w:after="0" w:line="240" w:lineRule="auto"/>
        <w:ind w:left="708"/>
        <w:rPr>
          <w:rFonts w:ascii="Arial" w:hAnsi="Arial" w:cs="Arial"/>
          <w:sz w:val="14"/>
          <w:szCs w:val="28"/>
        </w:rPr>
      </w:pPr>
    </w:p>
    <w:p w14:paraId="19AE6701" w14:textId="77777777" w:rsidR="003E333A" w:rsidRPr="0029672A" w:rsidRDefault="0029672A" w:rsidP="0029672A">
      <w:pPr>
        <w:pStyle w:val="Listenabsatz"/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* </w:t>
      </w:r>
      <w:r w:rsidR="004977F3">
        <w:rPr>
          <w:rFonts w:ascii="Arial" w:hAnsi="Arial" w:cs="Arial"/>
          <w:szCs w:val="28"/>
        </w:rPr>
        <w:t>RT = Raumtemperatur, ca. 20 – 25°C</w:t>
      </w:r>
    </w:p>
    <w:p w14:paraId="52B25EEA" w14:textId="77777777" w:rsidR="003E333A" w:rsidRDefault="003E333A" w:rsidP="003E333A">
      <w:pPr>
        <w:spacing w:after="0" w:line="240" w:lineRule="auto"/>
        <w:rPr>
          <w:rFonts w:ascii="Arial" w:hAnsi="Arial" w:cs="Arial"/>
          <w:szCs w:val="28"/>
        </w:rPr>
      </w:pPr>
    </w:p>
    <w:p w14:paraId="1FF010C6" w14:textId="77777777" w:rsidR="003E333A" w:rsidRPr="003E333A" w:rsidRDefault="004977F3" w:rsidP="003E333A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Beobachtung: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897"/>
        <w:gridCol w:w="898"/>
        <w:gridCol w:w="898"/>
        <w:gridCol w:w="1548"/>
        <w:gridCol w:w="1548"/>
        <w:gridCol w:w="1548"/>
      </w:tblGrid>
      <w:tr w:rsidR="004977F3" w:rsidRPr="00456C37" w14:paraId="1C508F1A" w14:textId="77777777" w:rsidTr="00B80F27">
        <w:tc>
          <w:tcPr>
            <w:tcW w:w="1243" w:type="dxa"/>
            <w:shd w:val="clear" w:color="auto" w:fill="auto"/>
          </w:tcPr>
          <w:p w14:paraId="57C046A2" w14:textId="77777777" w:rsidR="004977F3" w:rsidRPr="00456C37" w:rsidRDefault="004977F3" w:rsidP="00E13C66">
            <w:pPr>
              <w:spacing w:after="0" w:line="240" w:lineRule="auto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RG</w:t>
            </w:r>
          </w:p>
        </w:tc>
        <w:tc>
          <w:tcPr>
            <w:tcW w:w="897" w:type="dxa"/>
            <w:shd w:val="clear" w:color="auto" w:fill="auto"/>
          </w:tcPr>
          <w:p w14:paraId="0662925E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</w:t>
            </w:r>
          </w:p>
        </w:tc>
        <w:tc>
          <w:tcPr>
            <w:tcW w:w="898" w:type="dxa"/>
            <w:shd w:val="clear" w:color="auto" w:fill="auto"/>
          </w:tcPr>
          <w:p w14:paraId="0E95C7A4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898" w:type="dxa"/>
            <w:shd w:val="clear" w:color="auto" w:fill="auto"/>
          </w:tcPr>
          <w:p w14:paraId="2318877E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</w:t>
            </w:r>
          </w:p>
        </w:tc>
        <w:tc>
          <w:tcPr>
            <w:tcW w:w="1548" w:type="dxa"/>
            <w:shd w:val="clear" w:color="auto" w:fill="auto"/>
          </w:tcPr>
          <w:p w14:paraId="7F12A6FD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</w:t>
            </w:r>
          </w:p>
        </w:tc>
        <w:tc>
          <w:tcPr>
            <w:tcW w:w="1548" w:type="dxa"/>
            <w:shd w:val="clear" w:color="auto" w:fill="auto"/>
          </w:tcPr>
          <w:p w14:paraId="099D3D49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14:paraId="7044D948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</w:t>
            </w:r>
          </w:p>
        </w:tc>
      </w:tr>
      <w:tr w:rsidR="004977F3" w:rsidRPr="00456C37" w14:paraId="2771D328" w14:textId="77777777" w:rsidTr="00B80F27">
        <w:tc>
          <w:tcPr>
            <w:tcW w:w="1243" w:type="dxa"/>
            <w:shd w:val="clear" w:color="auto" w:fill="auto"/>
          </w:tcPr>
          <w:p w14:paraId="598E9A28" w14:textId="77777777" w:rsidR="004977F3" w:rsidRPr="004977F3" w:rsidRDefault="00D01921" w:rsidP="00E13C66">
            <w:pPr>
              <w:spacing w:after="0" w:line="240" w:lineRule="auto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Verände</w:t>
            </w:r>
            <w:r w:rsidR="00B80F27">
              <w:rPr>
                <w:rFonts w:ascii="Arial" w:hAnsi="Arial" w:cs="Arial"/>
                <w:szCs w:val="28"/>
              </w:rPr>
              <w:t>-</w:t>
            </w:r>
            <w:r>
              <w:rPr>
                <w:rFonts w:ascii="Arial" w:hAnsi="Arial" w:cs="Arial"/>
                <w:szCs w:val="28"/>
              </w:rPr>
              <w:t>rungen</w:t>
            </w:r>
          </w:p>
        </w:tc>
        <w:tc>
          <w:tcPr>
            <w:tcW w:w="897" w:type="dxa"/>
            <w:shd w:val="clear" w:color="auto" w:fill="auto"/>
          </w:tcPr>
          <w:p w14:paraId="4EBCD5D5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14:paraId="3D643C66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14:paraId="496DDDBC" w14:textId="77777777" w:rsidR="004977F3" w:rsidRPr="00456C37" w:rsidRDefault="004977F3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1548" w:type="dxa"/>
            <w:shd w:val="clear" w:color="auto" w:fill="auto"/>
          </w:tcPr>
          <w:p w14:paraId="16E0567B" w14:textId="77777777" w:rsidR="004977F3" w:rsidRPr="00456C37" w:rsidRDefault="00D01921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 (blaue Schlieren nach 5 min; nach 15 min Blaufärbung)</w:t>
            </w:r>
          </w:p>
        </w:tc>
        <w:tc>
          <w:tcPr>
            <w:tcW w:w="1548" w:type="dxa"/>
            <w:shd w:val="clear" w:color="auto" w:fill="auto"/>
          </w:tcPr>
          <w:p w14:paraId="376276B7" w14:textId="77777777" w:rsidR="004977F3" w:rsidRPr="00456C37" w:rsidRDefault="00D01921" w:rsidP="00B80F27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 (wie bei 4, aber rascher)</w:t>
            </w:r>
          </w:p>
        </w:tc>
        <w:tc>
          <w:tcPr>
            <w:tcW w:w="1548" w:type="dxa"/>
            <w:shd w:val="clear" w:color="auto" w:fill="auto"/>
          </w:tcPr>
          <w:p w14:paraId="57710FA3" w14:textId="77777777" w:rsidR="004977F3" w:rsidRPr="00456C37" w:rsidRDefault="00D01921" w:rsidP="00E13C66">
            <w:pPr>
              <w:spacing w:after="0" w:line="240" w:lineRule="auto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+ (wie bei 4, aber viel langsamer)</w:t>
            </w:r>
          </w:p>
        </w:tc>
      </w:tr>
    </w:tbl>
    <w:p w14:paraId="54BE716F" w14:textId="77777777" w:rsidR="00C132B0" w:rsidRDefault="00C132B0" w:rsidP="00D01921">
      <w:pPr>
        <w:spacing w:after="120" w:line="240" w:lineRule="auto"/>
        <w:rPr>
          <w:rFonts w:ascii="Arial" w:hAnsi="Arial" w:cs="Arial"/>
          <w:b/>
          <w:szCs w:val="28"/>
        </w:rPr>
      </w:pPr>
    </w:p>
    <w:p w14:paraId="2912893D" w14:textId="77777777" w:rsidR="004977F3" w:rsidRPr="00D01921" w:rsidRDefault="00C132B0" w:rsidP="00D01921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br w:type="page"/>
      </w:r>
      <w:r w:rsidR="00D01921">
        <w:rPr>
          <w:rFonts w:ascii="Arial" w:hAnsi="Arial" w:cs="Arial"/>
          <w:b/>
          <w:szCs w:val="28"/>
        </w:rPr>
        <w:lastRenderedPageBreak/>
        <w:t>Deutung:</w:t>
      </w:r>
    </w:p>
    <w:p w14:paraId="4727C1CD" w14:textId="77777777" w:rsidR="0029672A" w:rsidRDefault="00D01921" w:rsidP="003E333A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In den Ansätzen 1 bis 3 wird kein Sauerstoff produziert, in 4 bis 6 hingegen schon, jedoch unterschiedlich schnell.</w:t>
      </w:r>
    </w:p>
    <w:p w14:paraId="5B42AABD" w14:textId="77777777" w:rsidR="00BE4DBB" w:rsidRDefault="00BE4DBB" w:rsidP="003E333A">
      <w:pPr>
        <w:spacing w:after="0" w:line="240" w:lineRule="auto"/>
        <w:rPr>
          <w:rFonts w:ascii="Arial" w:hAnsi="Arial" w:cs="Arial"/>
          <w:szCs w:val="28"/>
        </w:rPr>
      </w:pPr>
    </w:p>
    <w:p w14:paraId="279D09A0" w14:textId="77777777" w:rsidR="00BE4DBB" w:rsidRPr="003E333A" w:rsidRDefault="00BE4DBB" w:rsidP="00BE4DBB">
      <w:pPr>
        <w:spacing w:after="120" w:line="240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Erklärung:</w:t>
      </w:r>
    </w:p>
    <w:p w14:paraId="4E87075B" w14:textId="77777777" w:rsidR="005D6CA5" w:rsidRDefault="00472605" w:rsidP="00BE4DBB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Die Sauerstoffproduktion der </w:t>
      </w:r>
      <w:r w:rsidRPr="00472605">
        <w:rPr>
          <w:rFonts w:ascii="Arial" w:hAnsi="Arial" w:cs="Arial"/>
          <w:i/>
          <w:szCs w:val="28"/>
        </w:rPr>
        <w:t>Elodea</w:t>
      </w:r>
      <w:r>
        <w:rPr>
          <w:rFonts w:ascii="Arial" w:hAnsi="Arial" w:cs="Arial"/>
          <w:szCs w:val="28"/>
        </w:rPr>
        <w:t>-Sprossstücke wird durch die Oxidation des Redoxindikators sichtbar gemacht</w:t>
      </w:r>
      <w:r w:rsidR="00215D4B">
        <w:rPr>
          <w:rFonts w:ascii="Arial" w:hAnsi="Arial" w:cs="Arial"/>
          <w:szCs w:val="28"/>
        </w:rPr>
        <w:t>. Die Zeit bis zur Verfärbung ist ein Maß für die fotosynthetische Sauerstoffproduktion unter den gegebenen Bedingungen.</w:t>
      </w:r>
    </w:p>
    <w:p w14:paraId="2D320BCC" w14:textId="77777777" w:rsidR="00215D4B" w:rsidRDefault="00215D4B" w:rsidP="00BE4DBB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1: ohne Pflanze keine Fotosynthese, also auch keine Sauerstoffproduktion</w:t>
      </w:r>
    </w:p>
    <w:p w14:paraId="73FB4D80" w14:textId="77777777" w:rsidR="00215D4B" w:rsidRDefault="00215D4B" w:rsidP="00215D4B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2: ohne Licht fehlt die Energiequelle für die Fotosynthese, es kann also keine Sauerstoffproduktion stattfinden</w:t>
      </w:r>
    </w:p>
    <w:p w14:paraId="0AD910C7" w14:textId="77777777" w:rsidR="00215D4B" w:rsidRDefault="00215D4B" w:rsidP="00215D4B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3: ohne Kohlenstoffdioxid fehlt ein wichtiges Edukt der Fotosynthese, es kann also keine Sauerstoffproduktion stattfinden</w:t>
      </w:r>
    </w:p>
    <w:p w14:paraId="44655DB6" w14:textId="77777777" w:rsidR="00215D4B" w:rsidRDefault="00215D4B" w:rsidP="00BE4DBB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RG 4 bis 5: je höher die Temperatur, desto höher ist die Fotosyntheseaktivität</w:t>
      </w:r>
    </w:p>
    <w:p w14:paraId="7FC8EA87" w14:textId="77777777" w:rsidR="0035196C" w:rsidRDefault="0035196C" w:rsidP="00BE4DBB">
      <w:pPr>
        <w:spacing w:after="0" w:line="240" w:lineRule="auto"/>
        <w:rPr>
          <w:rFonts w:ascii="Arial" w:hAnsi="Arial" w:cs="Arial"/>
          <w:szCs w:val="28"/>
        </w:rPr>
      </w:pPr>
    </w:p>
    <w:p w14:paraId="59DA2DF5" w14:textId="77777777" w:rsidR="00F46748" w:rsidRDefault="00F46748" w:rsidP="00BE4DBB">
      <w:pPr>
        <w:spacing w:after="0" w:line="240" w:lineRule="auto"/>
        <w:rPr>
          <w:rFonts w:ascii="Arial" w:hAnsi="Arial" w:cs="Arial"/>
          <w:szCs w:val="28"/>
        </w:rPr>
      </w:pPr>
    </w:p>
    <w:p w14:paraId="22220605" w14:textId="594D8A92" w:rsidR="00F46748" w:rsidRPr="00F46748" w:rsidRDefault="00F46748" w:rsidP="0051423F">
      <w:pPr>
        <w:spacing w:after="120" w:line="240" w:lineRule="auto"/>
        <w:rPr>
          <w:rFonts w:ascii="Arial" w:hAnsi="Arial" w:cs="Arial"/>
          <w:b/>
          <w:szCs w:val="28"/>
        </w:rPr>
      </w:pPr>
      <w:r w:rsidRPr="00F46748">
        <w:rPr>
          <w:rFonts w:ascii="Arial" w:hAnsi="Arial" w:cs="Arial"/>
          <w:b/>
          <w:szCs w:val="28"/>
        </w:rPr>
        <w:t>Versuchsvariante</w:t>
      </w:r>
      <w:bookmarkStart w:id="0" w:name="_GoBack"/>
      <w:bookmarkEnd w:id="0"/>
      <w:r w:rsidRPr="00F46748">
        <w:rPr>
          <w:rFonts w:ascii="Arial" w:hAnsi="Arial" w:cs="Arial"/>
          <w:b/>
          <w:szCs w:val="28"/>
        </w:rPr>
        <w:t>:</w:t>
      </w:r>
    </w:p>
    <w:p w14:paraId="0E4DA484" w14:textId="39248ABB" w:rsidR="00F46748" w:rsidRDefault="0051423F" w:rsidP="00BE4DBB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Anstelle der für die S</w:t>
      </w:r>
      <w:r w:rsidR="0048307F">
        <w:rPr>
          <w:rFonts w:ascii="Arial" w:hAnsi="Arial" w:cs="Arial"/>
          <w:szCs w:val="28"/>
        </w:rPr>
        <w:t xml:space="preserve">chülerinnen </w:t>
      </w:r>
      <w:r>
        <w:rPr>
          <w:rFonts w:ascii="Arial" w:hAnsi="Arial" w:cs="Arial"/>
          <w:szCs w:val="28"/>
        </w:rPr>
        <w:t>u</w:t>
      </w:r>
      <w:r w:rsidR="0048307F">
        <w:rPr>
          <w:rFonts w:ascii="Arial" w:hAnsi="Arial" w:cs="Arial"/>
          <w:szCs w:val="28"/>
        </w:rPr>
        <w:t xml:space="preserve">nd </w:t>
      </w:r>
      <w:r>
        <w:rPr>
          <w:rFonts w:ascii="Arial" w:hAnsi="Arial" w:cs="Arial"/>
          <w:szCs w:val="28"/>
        </w:rPr>
        <w:t>S</w:t>
      </w:r>
      <w:r w:rsidR="0048307F">
        <w:rPr>
          <w:rFonts w:ascii="Arial" w:hAnsi="Arial" w:cs="Arial"/>
          <w:szCs w:val="28"/>
        </w:rPr>
        <w:t>chüler</w:t>
      </w:r>
      <w:r>
        <w:rPr>
          <w:rFonts w:ascii="Arial" w:hAnsi="Arial" w:cs="Arial"/>
          <w:szCs w:val="28"/>
        </w:rPr>
        <w:t xml:space="preserve"> logischen Anreicherung der Lösungen mit Kohlenstoffdioxid über die Atemluft kann auch auf eine bereits </w:t>
      </w:r>
      <w:r w:rsidR="00B80F27" w:rsidRPr="00B80F27">
        <w:rPr>
          <w:rFonts w:ascii="Arial" w:hAnsi="Arial" w:cs="Arial"/>
          <w:b/>
          <w:szCs w:val="28"/>
        </w:rPr>
        <w:t xml:space="preserve">mit Kohlenstoffdioxid </w:t>
      </w:r>
      <w:r w:rsidRPr="00B80F27">
        <w:rPr>
          <w:rFonts w:ascii="Arial" w:hAnsi="Arial" w:cs="Arial"/>
          <w:b/>
          <w:szCs w:val="28"/>
        </w:rPr>
        <w:t>angereicherte Lösung</w:t>
      </w:r>
      <w:r>
        <w:rPr>
          <w:rFonts w:ascii="Arial" w:hAnsi="Arial" w:cs="Arial"/>
          <w:szCs w:val="28"/>
        </w:rPr>
        <w:t xml:space="preserve"> zurückgegriffen werden, wodurch </w:t>
      </w:r>
      <w:r w:rsidR="00B80F27">
        <w:rPr>
          <w:rFonts w:ascii="Arial" w:hAnsi="Arial" w:cs="Arial"/>
          <w:szCs w:val="28"/>
        </w:rPr>
        <w:t>die Versuchsergebnisse besser reproduziert werden können</w:t>
      </w:r>
      <w:r>
        <w:rPr>
          <w:rFonts w:ascii="Arial" w:hAnsi="Arial" w:cs="Arial"/>
          <w:szCs w:val="28"/>
        </w:rPr>
        <w:t xml:space="preserve">. Den </w:t>
      </w:r>
      <w:r w:rsidR="0048307F">
        <w:rPr>
          <w:rFonts w:ascii="Arial" w:hAnsi="Arial" w:cs="Arial"/>
          <w:szCs w:val="28"/>
        </w:rPr>
        <w:t xml:space="preserve">Schülerinnen und Schüler </w:t>
      </w:r>
      <w:r>
        <w:rPr>
          <w:rFonts w:ascii="Arial" w:hAnsi="Arial" w:cs="Arial"/>
          <w:szCs w:val="28"/>
        </w:rPr>
        <w:t>muss in diesem Fall zunächst erläutert werden, dass in einer Kalium- oder Natriumhydrogencarbonat-Lösung der Kohlenstoffdioxidgehalt höher ist, da sich folgendes chemische</w:t>
      </w:r>
      <w:r w:rsidR="0048307F">
        <w:rPr>
          <w:rFonts w:ascii="Arial" w:hAnsi="Arial" w:cs="Arial"/>
          <w:szCs w:val="28"/>
        </w:rPr>
        <w:t>s</w:t>
      </w:r>
      <w:r>
        <w:rPr>
          <w:rFonts w:ascii="Arial" w:hAnsi="Arial" w:cs="Arial"/>
          <w:szCs w:val="28"/>
        </w:rPr>
        <w:t xml:space="preserve"> Gleichgewicht einstellt:</w:t>
      </w:r>
    </w:p>
    <w:p w14:paraId="53AD265B" w14:textId="77777777" w:rsidR="0051423F" w:rsidRDefault="0051423F" w:rsidP="00BE4DBB">
      <w:pPr>
        <w:spacing w:after="0" w:line="240" w:lineRule="auto"/>
        <w:rPr>
          <w:rFonts w:ascii="Arial" w:hAnsi="Arial" w:cs="Arial"/>
          <w:szCs w:val="28"/>
        </w:rPr>
      </w:pPr>
    </w:p>
    <w:p w14:paraId="34A5590F" w14:textId="77777777" w:rsidR="0051423F" w:rsidRDefault="0051423F" w:rsidP="0051423F">
      <w:pPr>
        <w:spacing w:after="0" w:line="240" w:lineRule="auto"/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2 NaHCO</w:t>
      </w:r>
      <w:r>
        <w:rPr>
          <w:rFonts w:ascii="Arial" w:hAnsi="Arial" w:cs="Arial"/>
          <w:szCs w:val="28"/>
          <w:vertAlign w:val="subscript"/>
        </w:rPr>
        <w:t>3</w:t>
      </w:r>
      <w:r>
        <w:rPr>
          <w:rFonts w:ascii="Arial" w:hAnsi="Arial" w:cs="Arial"/>
          <w:szCs w:val="28"/>
        </w:rPr>
        <w:tab/>
      </w:r>
      <w:r>
        <w:rPr>
          <w:rFonts w:ascii="Cambria Math" w:hAnsi="Cambria Math" w:cs="Arial"/>
          <w:szCs w:val="28"/>
        </w:rPr>
        <w:t>⇄</w:t>
      </w:r>
      <w:r>
        <w:rPr>
          <w:rFonts w:ascii="Arial" w:hAnsi="Arial" w:cs="Arial"/>
          <w:szCs w:val="28"/>
        </w:rPr>
        <w:tab/>
        <w:t>Na</w:t>
      </w:r>
      <w:r>
        <w:rPr>
          <w:rFonts w:ascii="Arial" w:hAnsi="Arial" w:cs="Arial"/>
          <w:szCs w:val="28"/>
          <w:vertAlign w:val="subscript"/>
        </w:rPr>
        <w:t>2</w:t>
      </w:r>
      <w:r>
        <w:rPr>
          <w:rFonts w:ascii="Arial" w:hAnsi="Arial" w:cs="Arial"/>
          <w:szCs w:val="28"/>
        </w:rPr>
        <w:t>CO</w:t>
      </w:r>
      <w:r>
        <w:rPr>
          <w:rFonts w:ascii="Arial" w:hAnsi="Arial" w:cs="Arial"/>
          <w:szCs w:val="28"/>
          <w:vertAlign w:val="subscript"/>
        </w:rPr>
        <w:t>3</w:t>
      </w:r>
      <w:r>
        <w:rPr>
          <w:rFonts w:ascii="Arial" w:hAnsi="Arial" w:cs="Arial"/>
          <w:szCs w:val="28"/>
        </w:rPr>
        <w:t xml:space="preserve">   +   H</w:t>
      </w:r>
      <w:r>
        <w:rPr>
          <w:rFonts w:ascii="Arial" w:hAnsi="Arial" w:cs="Arial"/>
          <w:szCs w:val="28"/>
          <w:vertAlign w:val="subscript"/>
        </w:rPr>
        <w:t>2</w:t>
      </w:r>
      <w:r>
        <w:rPr>
          <w:rFonts w:ascii="Arial" w:hAnsi="Arial" w:cs="Arial"/>
          <w:szCs w:val="28"/>
        </w:rPr>
        <w:t>O    +   CO</w:t>
      </w:r>
      <w:r>
        <w:rPr>
          <w:rFonts w:ascii="Arial" w:hAnsi="Arial" w:cs="Arial"/>
          <w:szCs w:val="28"/>
          <w:vertAlign w:val="subscript"/>
        </w:rPr>
        <w:t>2</w:t>
      </w:r>
      <w:r>
        <w:rPr>
          <w:rFonts w:ascii="Arial" w:hAnsi="Arial" w:cs="Arial"/>
          <w:szCs w:val="28"/>
        </w:rPr>
        <w:t xml:space="preserve">   </w:t>
      </w:r>
    </w:p>
    <w:p w14:paraId="465672C9" w14:textId="77777777" w:rsidR="0051423F" w:rsidRDefault="0051423F" w:rsidP="0051423F">
      <w:pPr>
        <w:spacing w:after="0" w:line="240" w:lineRule="auto"/>
        <w:rPr>
          <w:rFonts w:ascii="Arial" w:hAnsi="Arial" w:cs="Arial"/>
          <w:szCs w:val="28"/>
        </w:rPr>
      </w:pPr>
    </w:p>
    <w:p w14:paraId="7D7E56CB" w14:textId="77777777" w:rsidR="0051423F" w:rsidRDefault="0051423F" w:rsidP="0051423F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Der Versuch kann wie oben dargestellt durchgeführt werden.</w:t>
      </w:r>
    </w:p>
    <w:p w14:paraId="72D4986A" w14:textId="77777777" w:rsidR="0051423F" w:rsidRDefault="0051423F" w:rsidP="0051423F">
      <w:pPr>
        <w:spacing w:after="0" w:line="240" w:lineRule="auto"/>
        <w:rPr>
          <w:rFonts w:ascii="Arial" w:hAnsi="Arial" w:cs="Arial"/>
          <w:szCs w:val="28"/>
        </w:rPr>
      </w:pPr>
    </w:p>
    <w:p w14:paraId="60E7FF49" w14:textId="77777777" w:rsidR="0051423F" w:rsidRDefault="0051423F" w:rsidP="0051423F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Es w</w:t>
      </w:r>
      <w:r w:rsidR="00B80F27">
        <w:rPr>
          <w:rFonts w:ascii="Arial" w:hAnsi="Arial" w:cs="Arial"/>
          <w:szCs w:val="28"/>
        </w:rPr>
        <w:t>erden zunächst eine Kalium- oder Natriumhydrogencarbonat-Lösung (c = 0,01 mol/L) sowie Kohlenstoffdioxid-freies Wasser (durch Abkochen) hergestellt und</w:t>
      </w:r>
      <w:r>
        <w:rPr>
          <w:rFonts w:ascii="Arial" w:hAnsi="Arial" w:cs="Arial"/>
          <w:szCs w:val="28"/>
        </w:rPr>
        <w:t xml:space="preserve"> </w:t>
      </w:r>
      <w:r w:rsidR="00B80F27">
        <w:rPr>
          <w:rFonts w:ascii="Arial" w:hAnsi="Arial" w:cs="Arial"/>
          <w:szCs w:val="28"/>
        </w:rPr>
        <w:t>anschließend</w:t>
      </w:r>
      <w:r>
        <w:rPr>
          <w:rFonts w:ascii="Arial" w:hAnsi="Arial" w:cs="Arial"/>
          <w:szCs w:val="28"/>
        </w:rPr>
        <w:t xml:space="preserve"> </w:t>
      </w:r>
      <w:r w:rsidR="00B80F27">
        <w:rPr>
          <w:rFonts w:ascii="Arial" w:hAnsi="Arial" w:cs="Arial"/>
          <w:szCs w:val="28"/>
        </w:rPr>
        <w:t>zwei verschiedene Indigocarmin-Lösungen:</w:t>
      </w:r>
    </w:p>
    <w:p w14:paraId="3F397933" w14:textId="77777777" w:rsidR="00B80F27" w:rsidRDefault="00B80F27" w:rsidP="00B80F27">
      <w:pPr>
        <w:numPr>
          <w:ilvl w:val="0"/>
          <w:numId w:val="7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10 mg Indigocarmin in 200 mL Kalium- oder Natriumhydrogencarbonat-Lösung</w:t>
      </w:r>
    </w:p>
    <w:p w14:paraId="1AEB5FAA" w14:textId="77777777" w:rsidR="00B80F27" w:rsidRDefault="00B80F27" w:rsidP="00B80F27">
      <w:pPr>
        <w:numPr>
          <w:ilvl w:val="0"/>
          <w:numId w:val="7"/>
        </w:num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10 mg Indigocarmin in 200 mL abgekochtem Wasser</w:t>
      </w:r>
    </w:p>
    <w:p w14:paraId="52C1B0D5" w14:textId="77777777" w:rsidR="00B80F27" w:rsidRDefault="00B80F27" w:rsidP="00B80F27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Beide Lösungen werden mit Natriumdithionit-Lösung bis zum Farbumschlag titriert.</w:t>
      </w:r>
    </w:p>
    <w:p w14:paraId="6BA9BE6F" w14:textId="77777777" w:rsidR="00B80F27" w:rsidRPr="0051423F" w:rsidRDefault="00B80F27" w:rsidP="00B80F27">
      <w:pPr>
        <w:spacing w:after="0" w:line="24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Anschließend können die Versuchsansätze wie oben beschrieben hergestellt werden.</w:t>
      </w:r>
    </w:p>
    <w:sectPr w:rsidR="00B80F27" w:rsidRPr="0051423F" w:rsidSect="000431B7">
      <w:headerReference w:type="default" r:id="rId13"/>
      <w:pgSz w:w="11906" w:h="16838"/>
      <w:pgMar w:top="125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46516" w14:textId="77777777" w:rsidR="00D67554" w:rsidRDefault="00D67554" w:rsidP="00274DAA">
      <w:pPr>
        <w:spacing w:after="0" w:line="240" w:lineRule="auto"/>
      </w:pPr>
      <w:r>
        <w:separator/>
      </w:r>
    </w:p>
  </w:endnote>
  <w:endnote w:type="continuationSeparator" w:id="0">
    <w:p w14:paraId="4CDC25EF" w14:textId="77777777" w:rsidR="00D67554" w:rsidRDefault="00D67554" w:rsidP="00274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B0E77" w14:textId="77777777" w:rsidR="00D67554" w:rsidRDefault="00D67554" w:rsidP="00274DAA">
      <w:pPr>
        <w:spacing w:after="0" w:line="240" w:lineRule="auto"/>
      </w:pPr>
      <w:r>
        <w:separator/>
      </w:r>
    </w:p>
  </w:footnote>
  <w:footnote w:type="continuationSeparator" w:id="0">
    <w:p w14:paraId="6E58ADB1" w14:textId="77777777" w:rsidR="00D67554" w:rsidRDefault="00D67554" w:rsidP="00274DAA">
      <w:pPr>
        <w:spacing w:after="0" w:line="240" w:lineRule="auto"/>
      </w:pPr>
      <w:r>
        <w:continuationSeparator/>
      </w:r>
    </w:p>
  </w:footnote>
  <w:footnote w:id="1">
    <w:p w14:paraId="21D7BFE6" w14:textId="77777777" w:rsidR="00274DAA" w:rsidRPr="00F0098F" w:rsidRDefault="00274DAA">
      <w:pPr>
        <w:pStyle w:val="Funotentext"/>
        <w:rPr>
          <w:i/>
        </w:rPr>
      </w:pPr>
      <w:r>
        <w:rPr>
          <w:rStyle w:val="Funotenzeichen"/>
        </w:rPr>
        <w:footnoteRef/>
      </w:r>
      <w:r>
        <w:t xml:space="preserve"> verändert nach: A. Wild: Pflanzenphysiologische Versuche in der Schule. Quelle &amp; Meyer, Wiebelsheim, 1999. S. 2</w:t>
      </w:r>
      <w:r w:rsidR="003D0096">
        <w:t>20</w:t>
      </w:r>
      <w:r>
        <w:t>ff</w:t>
      </w:r>
      <w:r w:rsidR="00F0098F">
        <w:t xml:space="preserve"> </w:t>
      </w:r>
      <w:r w:rsidR="00F0098F">
        <w:rPr>
          <w:i/>
        </w:rPr>
        <w:t>(mit freundlicher Genehmigung des Verlags</w:t>
      </w:r>
      <w:r w:rsidR="00C0300B">
        <w:rPr>
          <w:i/>
        </w:rPr>
        <w:t>, 11.1.21</w:t>
      </w:r>
      <w:r w:rsidR="00F0098F">
        <w:rPr>
          <w:i/>
        </w:rPr>
        <w:t>)</w:t>
      </w:r>
    </w:p>
  </w:footnote>
  <w:footnote w:id="2">
    <w:p w14:paraId="6CE9A9AD" w14:textId="77777777" w:rsidR="00472605" w:rsidRPr="00C0300B" w:rsidRDefault="00472605" w:rsidP="00472605">
      <w:pPr>
        <w:pStyle w:val="Funotentext"/>
        <w:rPr>
          <w:i/>
        </w:rPr>
      </w:pPr>
      <w:r>
        <w:rPr>
          <w:rStyle w:val="Funotenzeichen"/>
        </w:rPr>
        <w:footnoteRef/>
      </w:r>
      <w:r>
        <w:t xml:space="preserve"> Quelle: A. Schunk: „Experiment des Monats September 2002“. </w:t>
      </w:r>
      <w:hyperlink r:id="rId1" w:history="1">
        <w:r w:rsidRPr="003A168D">
          <w:rPr>
            <w:rStyle w:val="Hyperlink"/>
          </w:rPr>
          <w:t>http://www.axel-schunk.net/experiment/edm0209.html</w:t>
        </w:r>
      </w:hyperlink>
      <w:r w:rsidR="00C0300B">
        <w:t xml:space="preserve"> (12.8.</w:t>
      </w:r>
      <w:r>
        <w:t>20)</w:t>
      </w:r>
      <w:r w:rsidR="00C0300B">
        <w:t xml:space="preserve"> </w:t>
      </w:r>
      <w:r w:rsidR="00C0300B">
        <w:rPr>
          <w:i/>
        </w:rPr>
        <w:t>(Abdruck mit freundlicher Genehmigung des Autors, 19.1.21)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DE8A8" w14:textId="77777777" w:rsidR="000431B7" w:rsidRDefault="000431B7" w:rsidP="000431B7">
    <w:pPr>
      <w:pStyle w:val="Kopfzeile"/>
      <w:pBdr>
        <w:bottom w:val="single" w:sz="4" w:space="1" w:color="auto"/>
      </w:pBdr>
    </w:pPr>
    <w:r>
      <w:t>Sondergebiete der Biowissenschaften</w:t>
    </w:r>
    <w:r>
      <w:tab/>
    </w:r>
    <w:r>
      <w:tab/>
      <w:t>BPE 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458B1"/>
    <w:multiLevelType w:val="hybridMultilevel"/>
    <w:tmpl w:val="3BA0D0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F2ACB"/>
    <w:multiLevelType w:val="hybridMultilevel"/>
    <w:tmpl w:val="C85E3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B28DA"/>
    <w:multiLevelType w:val="hybridMultilevel"/>
    <w:tmpl w:val="D722F1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F35468"/>
    <w:multiLevelType w:val="hybridMultilevel"/>
    <w:tmpl w:val="4412CF24"/>
    <w:lvl w:ilvl="0" w:tplc="98BAB89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377FF"/>
    <w:multiLevelType w:val="hybridMultilevel"/>
    <w:tmpl w:val="AE185F58"/>
    <w:lvl w:ilvl="0" w:tplc="F9A85E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A49E1"/>
    <w:multiLevelType w:val="hybridMultilevel"/>
    <w:tmpl w:val="FBBCE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300141"/>
    <w:multiLevelType w:val="hybridMultilevel"/>
    <w:tmpl w:val="A4D4E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AA"/>
    <w:rsid w:val="000431B7"/>
    <w:rsid w:val="000A4CA7"/>
    <w:rsid w:val="001A6A2E"/>
    <w:rsid w:val="00215D4B"/>
    <w:rsid w:val="00274DAA"/>
    <w:rsid w:val="0029672A"/>
    <w:rsid w:val="002C114A"/>
    <w:rsid w:val="00345A94"/>
    <w:rsid w:val="0035196C"/>
    <w:rsid w:val="003B6534"/>
    <w:rsid w:val="003D0096"/>
    <w:rsid w:val="003D441C"/>
    <w:rsid w:val="003E333A"/>
    <w:rsid w:val="00456C37"/>
    <w:rsid w:val="00472605"/>
    <w:rsid w:val="0048307F"/>
    <w:rsid w:val="004977F3"/>
    <w:rsid w:val="00503443"/>
    <w:rsid w:val="0051423F"/>
    <w:rsid w:val="00581A3C"/>
    <w:rsid w:val="005C720A"/>
    <w:rsid w:val="005D6CA5"/>
    <w:rsid w:val="007002AB"/>
    <w:rsid w:val="0091117D"/>
    <w:rsid w:val="00B80F27"/>
    <w:rsid w:val="00BD3A3E"/>
    <w:rsid w:val="00BE4DBB"/>
    <w:rsid w:val="00C0300B"/>
    <w:rsid w:val="00C11C44"/>
    <w:rsid w:val="00C132B0"/>
    <w:rsid w:val="00C706CB"/>
    <w:rsid w:val="00C805A3"/>
    <w:rsid w:val="00D01921"/>
    <w:rsid w:val="00D21082"/>
    <w:rsid w:val="00D67554"/>
    <w:rsid w:val="00E13C66"/>
    <w:rsid w:val="00EC3138"/>
    <w:rsid w:val="00F0098F"/>
    <w:rsid w:val="00F44DD0"/>
    <w:rsid w:val="00F4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35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74DA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274DA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274DA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A4C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E3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D6CA5"/>
    <w:rPr>
      <w:rFonts w:ascii="Tahoma" w:hAnsi="Tahoma" w:cs="Tahoma"/>
      <w:sz w:val="16"/>
      <w:szCs w:val="16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472605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47260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43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431B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431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431B7"/>
    <w:rPr>
      <w:sz w:val="22"/>
      <w:szCs w:val="22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830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274DA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274DAA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274DAA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A4C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E3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6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D6CA5"/>
    <w:rPr>
      <w:rFonts w:ascii="Tahoma" w:hAnsi="Tahoma" w:cs="Tahoma"/>
      <w:sz w:val="16"/>
      <w:szCs w:val="16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472605"/>
    <w:rPr>
      <w:b/>
      <w:bCs/>
      <w:sz w:val="20"/>
      <w:szCs w:val="20"/>
    </w:rPr>
  </w:style>
  <w:style w:type="character" w:styleId="Hyperlink">
    <w:name w:val="Hyperlink"/>
    <w:uiPriority w:val="99"/>
    <w:unhideWhenUsed/>
    <w:rsid w:val="0047260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43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431B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431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431B7"/>
    <w:rPr>
      <w:sz w:val="22"/>
      <w:szCs w:val="22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830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xel-schunk.net/experiment/edm0209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662BB-7EFB-4EE6-ADEB-BB2D0DC00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EC57EC-5766-46AE-9CBE-ACBBF4FB4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BDFDC2-1B64-4AA5-9F08-8CD216BAC53D}">
  <ds:schemaRefs>
    <ds:schemaRef ds:uri="55696b60-0389-45c2-bb8c-032517eb46a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5961C81-3387-49A9-87DD-F9A03DFF9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Links>
    <vt:vector size="12" baseType="variant">
      <vt:variant>
        <vt:i4>4259962</vt:i4>
      </vt:variant>
      <vt:variant>
        <vt:i4>3</vt:i4>
      </vt:variant>
      <vt:variant>
        <vt:i4>0</vt:i4>
      </vt:variant>
      <vt:variant>
        <vt:i4>5</vt:i4>
      </vt:variant>
      <vt:variant>
        <vt:lpwstr>http://userpage.fu-berlin.de/~schmitt/Lehre/BfB/assets/BfB_Skript.pdf</vt:lpwstr>
      </vt:variant>
      <vt:variant>
        <vt:lpwstr/>
      </vt:variant>
      <vt:variant>
        <vt:i4>8126518</vt:i4>
      </vt:variant>
      <vt:variant>
        <vt:i4>0</vt:i4>
      </vt:variant>
      <vt:variant>
        <vt:i4>0</vt:i4>
      </vt:variant>
      <vt:variant>
        <vt:i4>5</vt:i4>
      </vt:variant>
      <vt:variant>
        <vt:lpwstr>http://www.axel-schunk.net/experiment/edm0209.html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wiesloch@erthoeja.de</cp:lastModifiedBy>
  <cp:revision>4</cp:revision>
  <dcterms:created xsi:type="dcterms:W3CDTF">2021-02-01T20:22:00Z</dcterms:created>
  <dcterms:modified xsi:type="dcterms:W3CDTF">2021-02-22T11:00:00Z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0x0101005D6A729614C20B48B34993DBB7536A2C</vt:lpwstr>
  </property>
</Properties>
</file>